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78"/>
        <w:gridCol w:w="3509"/>
      </w:tblGrid>
      <w:tr w:rsidR="00C53A8E" w:rsidRPr="0079133C" w14:paraId="6FF9194E" w14:textId="77777777" w:rsidTr="00DC65CE">
        <w:tc>
          <w:tcPr>
            <w:tcW w:w="5778" w:type="dxa"/>
            <w:vMerge w:val="restart"/>
          </w:tcPr>
          <w:p w14:paraId="6FF9194C" w14:textId="77777777" w:rsidR="00C53A8E" w:rsidRPr="00213CFD" w:rsidRDefault="00C53A8E" w:rsidP="00DC65CE">
            <w:pPr>
              <w:pStyle w:val="Header"/>
              <w:rPr>
                <w:rFonts w:ascii="Arial" w:hAnsi="Arial" w:cs="Arial"/>
                <w:b/>
                <w:szCs w:val="22"/>
              </w:rPr>
            </w:pPr>
            <w:bookmarkStart w:id="0" w:name="_GoBack"/>
            <w:r>
              <w:rPr>
                <w:rFonts w:ascii="Arial" w:hAnsi="Arial" w:cs="Arial"/>
                <w:b/>
                <w:noProof/>
                <w:szCs w:val="22"/>
              </w:rPr>
              <w:drawing>
                <wp:inline distT="0" distB="0" distL="0" distR="0" wp14:anchorId="6FF919A5" wp14:editId="6FF919A6">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bookmarkEnd w:id="0"/>
          </w:p>
        </w:tc>
        <w:tc>
          <w:tcPr>
            <w:tcW w:w="3509" w:type="dxa"/>
            <w:vAlign w:val="center"/>
          </w:tcPr>
          <w:p w14:paraId="6FF9194D" w14:textId="039D3019" w:rsidR="00C53A8E" w:rsidRPr="00F46ED5" w:rsidRDefault="00C53A8E" w:rsidP="00DC65CE">
            <w:pPr>
              <w:pStyle w:val="Header"/>
              <w:rPr>
                <w:b/>
                <w:szCs w:val="22"/>
              </w:rPr>
            </w:pPr>
          </w:p>
        </w:tc>
      </w:tr>
      <w:tr w:rsidR="00C53A8E" w14:paraId="6FF91951" w14:textId="77777777" w:rsidTr="00DC65CE">
        <w:trPr>
          <w:trHeight w:val="450"/>
        </w:trPr>
        <w:tc>
          <w:tcPr>
            <w:tcW w:w="5778" w:type="dxa"/>
            <w:vMerge/>
          </w:tcPr>
          <w:p w14:paraId="6FF9194F" w14:textId="77777777" w:rsidR="00C53A8E" w:rsidRPr="00F46ED5" w:rsidRDefault="00C53A8E" w:rsidP="00DC65CE">
            <w:pPr>
              <w:pStyle w:val="Header"/>
              <w:rPr>
                <w:szCs w:val="22"/>
              </w:rPr>
            </w:pPr>
          </w:p>
        </w:tc>
        <w:tc>
          <w:tcPr>
            <w:tcW w:w="3509" w:type="dxa"/>
            <w:vAlign w:val="center"/>
          </w:tcPr>
          <w:p w14:paraId="6FF91950" w14:textId="715922E9" w:rsidR="00C53A8E" w:rsidRPr="00A557CF" w:rsidRDefault="00C53A8E" w:rsidP="006B430B">
            <w:pPr>
              <w:pStyle w:val="Header"/>
              <w:spacing w:before="60"/>
              <w:rPr>
                <w:rFonts w:ascii="Arial" w:hAnsi="Arial" w:cs="Arial"/>
                <w:szCs w:val="22"/>
                <w:highlight w:val="yellow"/>
              </w:rPr>
            </w:pPr>
          </w:p>
        </w:tc>
      </w:tr>
      <w:tr w:rsidR="00C53A8E" w:rsidRPr="0079133C" w14:paraId="6FF91954" w14:textId="77777777" w:rsidTr="00DC65CE">
        <w:trPr>
          <w:trHeight w:val="584"/>
        </w:trPr>
        <w:tc>
          <w:tcPr>
            <w:tcW w:w="5778" w:type="dxa"/>
            <w:vMerge/>
          </w:tcPr>
          <w:p w14:paraId="6FF91952" w14:textId="77777777" w:rsidR="00C53A8E" w:rsidRPr="00F46ED5" w:rsidRDefault="00C53A8E" w:rsidP="00DC65CE">
            <w:pPr>
              <w:pStyle w:val="Header"/>
              <w:rPr>
                <w:szCs w:val="22"/>
              </w:rPr>
            </w:pPr>
          </w:p>
        </w:tc>
        <w:tc>
          <w:tcPr>
            <w:tcW w:w="3509" w:type="dxa"/>
            <w:vAlign w:val="center"/>
          </w:tcPr>
          <w:p w14:paraId="6FF91953" w14:textId="77777777" w:rsidR="00C53A8E" w:rsidRPr="00A557CF" w:rsidRDefault="00C53A8E" w:rsidP="00DC65CE">
            <w:pPr>
              <w:pStyle w:val="Header"/>
              <w:spacing w:before="60"/>
              <w:rPr>
                <w:rFonts w:ascii="Arial" w:hAnsi="Arial" w:cs="Arial"/>
                <w:b/>
                <w:szCs w:val="22"/>
                <w:highlight w:val="yellow"/>
              </w:rPr>
            </w:pPr>
          </w:p>
        </w:tc>
      </w:tr>
    </w:tbl>
    <w:p w14:paraId="6FF91955" w14:textId="77777777" w:rsidR="00370C75" w:rsidRDefault="00370C75"/>
    <w:p w14:paraId="6FF91956" w14:textId="77777777" w:rsidR="00C53A8E" w:rsidRDefault="00CB74F7" w:rsidP="00C53A8E">
      <w:pPr>
        <w:pStyle w:val="LGAItemNoHeading"/>
        <w:spacing w:before="120" w:after="120" w:line="240" w:lineRule="auto"/>
        <w:rPr>
          <w:rFonts w:ascii="Arial" w:hAnsi="Arial" w:cs="Arial"/>
          <w:sz w:val="28"/>
          <w:szCs w:val="28"/>
        </w:rPr>
      </w:pPr>
      <w:r>
        <w:rPr>
          <w:rFonts w:ascii="Arial" w:hAnsi="Arial" w:cs="Arial"/>
          <w:sz w:val="28"/>
          <w:szCs w:val="28"/>
        </w:rPr>
        <w:t>People</w:t>
      </w:r>
      <w:r w:rsidR="0048021E">
        <w:rPr>
          <w:rFonts w:ascii="Arial" w:hAnsi="Arial" w:cs="Arial"/>
          <w:sz w:val="28"/>
          <w:szCs w:val="28"/>
        </w:rPr>
        <w:t xml:space="preserve"> &amp;</w:t>
      </w:r>
      <w:r w:rsidR="00C53A8E">
        <w:rPr>
          <w:rFonts w:ascii="Arial" w:hAnsi="Arial" w:cs="Arial"/>
          <w:sz w:val="28"/>
          <w:szCs w:val="28"/>
        </w:rPr>
        <w:t xml:space="preserve"> </w:t>
      </w:r>
      <w:r>
        <w:rPr>
          <w:rFonts w:ascii="Arial" w:hAnsi="Arial" w:cs="Arial"/>
          <w:sz w:val="28"/>
          <w:szCs w:val="28"/>
        </w:rPr>
        <w:t>Places</w:t>
      </w:r>
      <w:r w:rsidR="00C53A8E">
        <w:rPr>
          <w:rFonts w:ascii="Arial" w:hAnsi="Arial" w:cs="Arial"/>
          <w:sz w:val="28"/>
          <w:szCs w:val="28"/>
        </w:rPr>
        <w:t xml:space="preserve"> Board – report from Cllr </w:t>
      </w:r>
      <w:r>
        <w:rPr>
          <w:rFonts w:ascii="Arial" w:hAnsi="Arial" w:cs="Arial"/>
          <w:sz w:val="28"/>
          <w:szCs w:val="28"/>
        </w:rPr>
        <w:t>David Hodge</w:t>
      </w:r>
      <w:r w:rsidR="00C53A8E">
        <w:rPr>
          <w:rFonts w:ascii="Arial" w:hAnsi="Arial" w:cs="Arial"/>
          <w:sz w:val="28"/>
          <w:szCs w:val="28"/>
        </w:rPr>
        <w:t xml:space="preserve"> (Chair</w:t>
      </w:r>
      <w:r w:rsidR="00731417">
        <w:rPr>
          <w:rFonts w:ascii="Arial" w:hAnsi="Arial" w:cs="Arial"/>
          <w:sz w:val="28"/>
          <w:szCs w:val="28"/>
        </w:rPr>
        <w:t>man</w:t>
      </w:r>
      <w:r w:rsidR="00C53A8E">
        <w:rPr>
          <w:rFonts w:ascii="Arial" w:hAnsi="Arial" w:cs="Arial"/>
          <w:sz w:val="28"/>
          <w:szCs w:val="28"/>
        </w:rPr>
        <w:t>)</w:t>
      </w:r>
      <w:bookmarkStart w:id="1" w:name="MainHeading2"/>
      <w:bookmarkEnd w:id="1"/>
    </w:p>
    <w:p w14:paraId="6FF91957" w14:textId="77777777" w:rsidR="00D80BF7" w:rsidRDefault="00D80BF7" w:rsidP="00C53A8E">
      <w:pPr>
        <w:pStyle w:val="LGAItemNoHeading"/>
        <w:spacing w:before="120" w:after="120" w:line="240" w:lineRule="auto"/>
        <w:rPr>
          <w:rFonts w:ascii="Arial" w:hAnsi="Arial" w:cs="Arial"/>
          <w:sz w:val="28"/>
          <w:szCs w:val="28"/>
        </w:rPr>
      </w:pPr>
    </w:p>
    <w:p w14:paraId="6FF91958" w14:textId="77777777" w:rsidR="00AB4528" w:rsidRDefault="00AB4528" w:rsidP="00AB4528">
      <w:pPr>
        <w:rPr>
          <w:rFonts w:ascii="Arial" w:hAnsi="Arial" w:cs="Arial"/>
          <w:b/>
          <w:bCs/>
          <w:color w:val="000000"/>
        </w:rPr>
      </w:pPr>
      <w:r>
        <w:rPr>
          <w:rFonts w:ascii="Arial" w:hAnsi="Arial" w:cs="Arial"/>
          <w:b/>
          <w:bCs/>
          <w:color w:val="000000"/>
        </w:rPr>
        <w:t>Non-Metropolitan Commission</w:t>
      </w:r>
    </w:p>
    <w:p w14:paraId="6FF91959" w14:textId="77777777" w:rsidR="00AB4528" w:rsidRDefault="00AB4528" w:rsidP="00AB4528">
      <w:pPr>
        <w:rPr>
          <w:rFonts w:ascii="Arial" w:hAnsi="Arial" w:cs="Arial"/>
          <w:color w:val="000000"/>
        </w:rPr>
      </w:pPr>
    </w:p>
    <w:p w14:paraId="6FF9195A" w14:textId="77777777" w:rsidR="006B430B" w:rsidRPr="006B430B" w:rsidRDefault="006B430B" w:rsidP="006B430B">
      <w:pPr>
        <w:pStyle w:val="ListParagraph"/>
        <w:numPr>
          <w:ilvl w:val="0"/>
          <w:numId w:val="24"/>
        </w:numPr>
        <w:rPr>
          <w:rFonts w:ascii="Arial" w:hAnsi="Arial" w:cs="Arial"/>
          <w:color w:val="000000"/>
        </w:rPr>
      </w:pPr>
      <w:r w:rsidRPr="006B430B">
        <w:rPr>
          <w:rFonts w:ascii="Arial" w:hAnsi="Arial" w:cs="Arial"/>
          <w:color w:val="000000"/>
        </w:rPr>
        <w:t xml:space="preserve">The Non-Metropolitan Commission published its final report </w:t>
      </w:r>
      <w:hyperlink r:id="rId10" w:history="1">
        <w:r w:rsidRPr="006B430B">
          <w:rPr>
            <w:rStyle w:val="Hyperlink"/>
            <w:rFonts w:ascii="Arial" w:hAnsi="Arial" w:cs="Arial"/>
            <w:i/>
            <w:iCs/>
          </w:rPr>
          <w:t>Devolution to Non-Metropolitan England: Seven steps to growth and prosperity</w:t>
        </w:r>
      </w:hyperlink>
      <w:r w:rsidRPr="006B430B">
        <w:rPr>
          <w:rFonts w:ascii="Arial" w:hAnsi="Arial" w:cs="Arial"/>
          <w:color w:val="000000"/>
        </w:rPr>
        <w:t>, on 5 March.  The Commission made seven specific recommendations for reform to shape the way economic growth and public service transformation are supported in the future.  The Commission highlighted the applicability of the recommendations to not only the</w:t>
      </w:r>
      <w:proofErr w:type="gramStart"/>
      <w:r w:rsidRPr="006B430B">
        <w:rPr>
          <w:rFonts w:ascii="Arial" w:hAnsi="Arial" w:cs="Arial"/>
          <w:color w:val="000000"/>
        </w:rPr>
        <w:t>  non</w:t>
      </w:r>
      <w:proofErr w:type="gramEnd"/>
      <w:r w:rsidRPr="006B430B">
        <w:rPr>
          <w:rFonts w:ascii="Arial" w:hAnsi="Arial" w:cs="Arial"/>
          <w:color w:val="000000"/>
        </w:rPr>
        <w:t xml:space="preserve">-metropolitan areas but also the city regions and emphasised that the recommendations could be implemented by the new government early in its term to give the country a further boost along the road to recovery. </w:t>
      </w:r>
    </w:p>
    <w:p w14:paraId="6FF9195B" w14:textId="77777777" w:rsidR="006B430B" w:rsidRDefault="006B430B" w:rsidP="006B430B">
      <w:pPr>
        <w:rPr>
          <w:rFonts w:ascii="Arial" w:hAnsi="Arial" w:cs="Arial"/>
          <w:color w:val="000000"/>
        </w:rPr>
      </w:pPr>
    </w:p>
    <w:p w14:paraId="6FF9195C" w14:textId="77777777" w:rsidR="006B430B" w:rsidRPr="006B430B" w:rsidRDefault="006B430B" w:rsidP="006B430B">
      <w:pPr>
        <w:pStyle w:val="ListParagraph"/>
        <w:numPr>
          <w:ilvl w:val="0"/>
          <w:numId w:val="24"/>
        </w:numPr>
        <w:rPr>
          <w:rFonts w:ascii="Arial" w:hAnsi="Arial" w:cs="Arial"/>
          <w:sz w:val="24"/>
          <w:szCs w:val="24"/>
        </w:rPr>
      </w:pPr>
      <w:r w:rsidRPr="006B430B">
        <w:rPr>
          <w:rFonts w:ascii="Arial" w:hAnsi="Arial" w:cs="Arial"/>
          <w:color w:val="000000"/>
        </w:rPr>
        <w:t xml:space="preserve">The seven recommendations covered </w:t>
      </w:r>
      <w:r w:rsidRPr="006B430B">
        <w:rPr>
          <w:rFonts w:ascii="Arial" w:hAnsi="Arial" w:cs="Arial"/>
        </w:rPr>
        <w:t>prosperity (skills and foreign direct investment), infrastructure (planning and transport, housing, digital connectivity and investment in infrastructure) and governance making the point that the Commission considers that the way we take decisions in England is holding us back.</w:t>
      </w:r>
      <w:r w:rsidRPr="006B430B">
        <w:rPr>
          <w:rFonts w:ascii="Arial" w:hAnsi="Arial" w:cs="Arial"/>
          <w:sz w:val="24"/>
          <w:szCs w:val="24"/>
        </w:rPr>
        <w:t xml:space="preserve"> </w:t>
      </w:r>
    </w:p>
    <w:p w14:paraId="6FF9195D" w14:textId="77777777" w:rsidR="006B430B" w:rsidRDefault="006B430B" w:rsidP="006B430B">
      <w:pPr>
        <w:rPr>
          <w:rFonts w:ascii="Arial" w:hAnsi="Arial" w:cs="Arial"/>
          <w:sz w:val="24"/>
          <w:szCs w:val="24"/>
        </w:rPr>
      </w:pPr>
    </w:p>
    <w:p w14:paraId="6FF9195E" w14:textId="77777777" w:rsidR="006B430B" w:rsidRPr="006B430B" w:rsidRDefault="006B430B" w:rsidP="006B430B">
      <w:pPr>
        <w:pStyle w:val="ListParagraph"/>
        <w:numPr>
          <w:ilvl w:val="0"/>
          <w:numId w:val="24"/>
        </w:numPr>
        <w:rPr>
          <w:rFonts w:ascii="Arial" w:hAnsi="Arial" w:cs="Arial"/>
          <w:color w:val="000000"/>
          <w:szCs w:val="22"/>
        </w:rPr>
      </w:pPr>
      <w:proofErr w:type="spellStart"/>
      <w:r w:rsidRPr="006B430B">
        <w:rPr>
          <w:rFonts w:ascii="Arial" w:hAnsi="Arial" w:cs="Arial"/>
        </w:rPr>
        <w:t>Viscountess</w:t>
      </w:r>
      <w:proofErr w:type="spellEnd"/>
      <w:r w:rsidRPr="006B430B">
        <w:rPr>
          <w:rFonts w:ascii="Arial" w:hAnsi="Arial" w:cs="Arial"/>
        </w:rPr>
        <w:t xml:space="preserve"> Cobham, the Chairman of </w:t>
      </w:r>
      <w:proofErr w:type="spellStart"/>
      <w:r w:rsidRPr="006B430B">
        <w:rPr>
          <w:rFonts w:ascii="Arial" w:hAnsi="Arial" w:cs="Arial"/>
        </w:rPr>
        <w:t>VisitEngland</w:t>
      </w:r>
      <w:proofErr w:type="spellEnd"/>
      <w:r w:rsidRPr="006B430B">
        <w:rPr>
          <w:rFonts w:ascii="Arial" w:hAnsi="Arial" w:cs="Arial"/>
        </w:rPr>
        <w:t xml:space="preserve"> and a Commissioner, represented Sir John Peace, the Commission Chairman, at the March meeting of the People and Places Board.  Following a short brief on the thoughts and philosophy behind the Commission’s report, which was warmly received by the Board, she responded to comments from members and undertook to stay in touch with the LGA in order to hear about progress with delivering the recommendations. </w:t>
      </w:r>
      <w:r w:rsidRPr="006B430B">
        <w:rPr>
          <w:rFonts w:ascii="Arial" w:hAnsi="Arial" w:cs="Arial"/>
          <w:color w:val="000000"/>
        </w:rPr>
        <w:t>  </w:t>
      </w:r>
    </w:p>
    <w:p w14:paraId="6FF9195F" w14:textId="77777777" w:rsidR="006B430B" w:rsidRDefault="006B430B" w:rsidP="006B430B">
      <w:pPr>
        <w:rPr>
          <w:rFonts w:ascii="Arial" w:hAnsi="Arial" w:cs="Arial"/>
          <w:color w:val="000000"/>
        </w:rPr>
      </w:pPr>
    </w:p>
    <w:p w14:paraId="6FF91960" w14:textId="77777777" w:rsidR="00D33BC0" w:rsidRDefault="00D33BC0" w:rsidP="00D33BC0">
      <w:pPr>
        <w:pStyle w:val="ListParagraph"/>
        <w:rPr>
          <w:rFonts w:ascii="Arial" w:hAnsi="Arial" w:cs="Arial"/>
          <w:color w:val="000000"/>
        </w:rPr>
      </w:pPr>
    </w:p>
    <w:p w14:paraId="6FF91961" w14:textId="77777777" w:rsidR="00367BB6" w:rsidRDefault="00367BB6" w:rsidP="00367BB6">
      <w:pPr>
        <w:pStyle w:val="MainText"/>
        <w:spacing w:line="240" w:lineRule="auto"/>
        <w:rPr>
          <w:rFonts w:ascii="Arial" w:hAnsi="Arial" w:cs="Arial"/>
          <w:b/>
          <w:szCs w:val="22"/>
        </w:rPr>
      </w:pPr>
      <w:r>
        <w:rPr>
          <w:rFonts w:ascii="Arial" w:hAnsi="Arial" w:cs="Arial"/>
          <w:b/>
          <w:szCs w:val="22"/>
        </w:rPr>
        <w:t>Cities and Local Government Devolution Bill</w:t>
      </w:r>
    </w:p>
    <w:p w14:paraId="6FF91962" w14:textId="77777777" w:rsidR="00367BB6" w:rsidRDefault="00367BB6" w:rsidP="00367BB6">
      <w:pPr>
        <w:pStyle w:val="MainText"/>
        <w:spacing w:line="240" w:lineRule="auto"/>
        <w:rPr>
          <w:rFonts w:ascii="Arial" w:hAnsi="Arial" w:cs="Arial"/>
          <w:b/>
          <w:szCs w:val="22"/>
        </w:rPr>
      </w:pPr>
    </w:p>
    <w:p w14:paraId="6FF91963" w14:textId="77777777" w:rsidR="00367BB6" w:rsidRDefault="00367BB6" w:rsidP="001346FB">
      <w:pPr>
        <w:pStyle w:val="MainText"/>
        <w:numPr>
          <w:ilvl w:val="0"/>
          <w:numId w:val="24"/>
        </w:numPr>
        <w:spacing w:line="240" w:lineRule="auto"/>
        <w:rPr>
          <w:rFonts w:ascii="Arial" w:hAnsi="Arial" w:cs="Arial"/>
          <w:szCs w:val="22"/>
        </w:rPr>
      </w:pPr>
      <w:r>
        <w:rPr>
          <w:rFonts w:ascii="Arial" w:hAnsi="Arial" w:cs="Arial"/>
          <w:szCs w:val="22"/>
        </w:rPr>
        <w:t xml:space="preserve">As part of the Queen’s Speech the Government has announced a Cities and Local Government Devolution Bill. The Bill will </w:t>
      </w:r>
      <w:r w:rsidRPr="001D0D23">
        <w:rPr>
          <w:rFonts w:ascii="Arial" w:hAnsi="Arial" w:cs="Arial"/>
          <w:szCs w:val="22"/>
        </w:rPr>
        <w:t xml:space="preserve">provide the legal basis to implement the Government’s ‘northern powerhouse’ ambitions, </w:t>
      </w:r>
      <w:r>
        <w:rPr>
          <w:rFonts w:ascii="Arial" w:hAnsi="Arial" w:cs="Arial"/>
          <w:szCs w:val="22"/>
        </w:rPr>
        <w:t>by devolving</w:t>
      </w:r>
      <w:r w:rsidRPr="001D0D23">
        <w:rPr>
          <w:rFonts w:ascii="Arial" w:hAnsi="Arial" w:cs="Arial"/>
          <w:szCs w:val="22"/>
        </w:rPr>
        <w:t xml:space="preserve"> powers to cit</w:t>
      </w:r>
      <w:r>
        <w:rPr>
          <w:rFonts w:ascii="Arial" w:hAnsi="Arial" w:cs="Arial"/>
          <w:szCs w:val="22"/>
        </w:rPr>
        <w:t>ies with elected ‘metro mayors.’ Importantly, the Bill</w:t>
      </w:r>
      <w:r w:rsidRPr="001D0D23">
        <w:rPr>
          <w:rFonts w:ascii="Arial" w:hAnsi="Arial" w:cs="Arial"/>
          <w:szCs w:val="22"/>
        </w:rPr>
        <w:t xml:space="preserve"> will </w:t>
      </w:r>
      <w:r>
        <w:rPr>
          <w:rFonts w:ascii="Arial" w:hAnsi="Arial" w:cs="Arial"/>
          <w:szCs w:val="22"/>
        </w:rPr>
        <w:t xml:space="preserve">also </w:t>
      </w:r>
      <w:r w:rsidRPr="001D0D23">
        <w:rPr>
          <w:rFonts w:ascii="Arial" w:hAnsi="Arial" w:cs="Arial"/>
          <w:szCs w:val="22"/>
        </w:rPr>
        <w:t xml:space="preserve">empower towns and counties </w:t>
      </w:r>
      <w:r>
        <w:rPr>
          <w:rFonts w:ascii="Arial" w:hAnsi="Arial" w:cs="Arial"/>
          <w:szCs w:val="22"/>
        </w:rPr>
        <w:t>by building on the Growth Deals, and pledges to lift the statutory restrictions on the remit of combined authorities. The inclusion of non-metropolitan areas in the Bill is a welcome step and we look forward to working with government to ensure the deals on offer for non-metropolitan areas are every bit as ambitious as those for cities.</w:t>
      </w:r>
    </w:p>
    <w:p w14:paraId="6FF91964" w14:textId="77777777" w:rsidR="00367BB6" w:rsidRDefault="00367BB6" w:rsidP="00367BB6">
      <w:pPr>
        <w:pStyle w:val="MainText"/>
        <w:spacing w:line="240" w:lineRule="auto"/>
        <w:rPr>
          <w:rFonts w:ascii="Arial" w:hAnsi="Arial" w:cs="Arial"/>
          <w:szCs w:val="22"/>
        </w:rPr>
      </w:pPr>
    </w:p>
    <w:p w14:paraId="6FF91965" w14:textId="77777777" w:rsidR="00367BB6" w:rsidRPr="0021114E" w:rsidRDefault="00367BB6" w:rsidP="00367BB6">
      <w:pPr>
        <w:pStyle w:val="MainText"/>
        <w:spacing w:line="240" w:lineRule="auto"/>
        <w:rPr>
          <w:rFonts w:ascii="Arial" w:hAnsi="Arial" w:cs="Arial"/>
          <w:szCs w:val="22"/>
        </w:rPr>
      </w:pPr>
      <w:r>
        <w:rPr>
          <w:rFonts w:ascii="Arial" w:hAnsi="Arial" w:cs="Arial"/>
          <w:b/>
          <w:szCs w:val="22"/>
        </w:rPr>
        <w:t>English Devolution: Local Solutions for a successful Nation</w:t>
      </w:r>
    </w:p>
    <w:p w14:paraId="6FF91966" w14:textId="77777777" w:rsidR="00367BB6" w:rsidRPr="0021114E" w:rsidRDefault="00367BB6" w:rsidP="00367BB6">
      <w:pPr>
        <w:pStyle w:val="MainText"/>
        <w:spacing w:line="240" w:lineRule="auto"/>
        <w:rPr>
          <w:rFonts w:ascii="Arial" w:hAnsi="Arial" w:cs="Arial"/>
          <w:szCs w:val="22"/>
        </w:rPr>
      </w:pPr>
    </w:p>
    <w:p w14:paraId="6FF91967" w14:textId="77777777" w:rsidR="00367BB6" w:rsidRDefault="001346FB" w:rsidP="001346FB">
      <w:pPr>
        <w:pStyle w:val="PlainText"/>
        <w:ind w:left="709" w:hanging="283"/>
      </w:pPr>
      <w:r>
        <w:t xml:space="preserve">5. </w:t>
      </w:r>
      <w:r>
        <w:tab/>
      </w:r>
      <w:r w:rsidR="00367BB6" w:rsidRPr="00422EDE">
        <w:t xml:space="preserve">The </w:t>
      </w:r>
      <w:r w:rsidR="00367BB6">
        <w:t>People and Places</w:t>
      </w:r>
      <w:r w:rsidR="00367BB6" w:rsidRPr="00422EDE">
        <w:t xml:space="preserve"> Board played a lead role in the development of the Local Government Association’s </w:t>
      </w:r>
      <w:hyperlink r:id="rId11" w:history="1">
        <w:r w:rsidR="00367BB6" w:rsidRPr="00422EDE">
          <w:rPr>
            <w:rStyle w:val="Hyperlink"/>
          </w:rPr>
          <w:t>white paper on devolution</w:t>
        </w:r>
      </w:hyperlink>
      <w:r w:rsidR="00367BB6" w:rsidRPr="00422EDE">
        <w:t xml:space="preserve">, which calls for </w:t>
      </w:r>
      <w:r w:rsidR="00367BB6">
        <w:t>a broadening of devolution policy to include areas outside England’s larger cities</w:t>
      </w:r>
      <w:r w:rsidR="00367BB6" w:rsidRPr="00422EDE">
        <w:t xml:space="preserve">. The paper sets out </w:t>
      </w:r>
      <w:r w:rsidR="00367BB6">
        <w:t xml:space="preserve">an overarching view from across local government on what could be achieved through </w:t>
      </w:r>
      <w:r w:rsidR="00367BB6">
        <w:lastRenderedPageBreak/>
        <w:t>devolution and how progress can be made across the country over the course of this parliament.</w:t>
      </w:r>
      <w:r w:rsidR="00367BB6" w:rsidRPr="00422EDE">
        <w:t xml:space="preserve"> </w:t>
      </w:r>
    </w:p>
    <w:p w14:paraId="6FF91968" w14:textId="77777777" w:rsidR="00367BB6" w:rsidRDefault="00367BB6" w:rsidP="00367BB6">
      <w:pPr>
        <w:pStyle w:val="PlainText"/>
        <w:ind w:left="360"/>
      </w:pPr>
    </w:p>
    <w:p w14:paraId="6FF91969" w14:textId="77777777" w:rsidR="00367BB6" w:rsidRDefault="00367BB6" w:rsidP="001346FB">
      <w:pPr>
        <w:pStyle w:val="PlainText"/>
        <w:numPr>
          <w:ilvl w:val="0"/>
          <w:numId w:val="27"/>
        </w:numPr>
      </w:pPr>
      <w:r>
        <w:t xml:space="preserve">The paper identifies key decisions that need to be taken by Government in the first Queen’s Speech and next Spending Review to accelerate progress on devolution. It also recognises that local areas need to strengthen their governance arrangements in order to be able to take on substantial new responsibilities. To that end, the paper pushes for places to be able to bring forward proposals that reflect the arrangements that would be most appropriate for their area, rather than having a single model imposed on them. The paper was featured on the BBC evening news and has been downloaded nearly 10,000 times. </w:t>
      </w:r>
    </w:p>
    <w:p w14:paraId="6FF9196A" w14:textId="77777777" w:rsidR="00367BB6" w:rsidRDefault="00367BB6" w:rsidP="00367BB6">
      <w:pPr>
        <w:pStyle w:val="ListParagraph"/>
      </w:pPr>
    </w:p>
    <w:p w14:paraId="6FF9196B" w14:textId="77777777" w:rsidR="00367BB6" w:rsidRPr="001346FB" w:rsidRDefault="00367BB6" w:rsidP="001346FB">
      <w:pPr>
        <w:pStyle w:val="ListParagraph"/>
        <w:numPr>
          <w:ilvl w:val="0"/>
          <w:numId w:val="27"/>
        </w:numPr>
        <w:rPr>
          <w:rFonts w:ascii="Arial" w:hAnsi="Arial" w:cs="Arial"/>
          <w:color w:val="000000"/>
        </w:rPr>
      </w:pPr>
      <w:r w:rsidRPr="001346FB">
        <w:rPr>
          <w:rFonts w:ascii="Arial" w:hAnsi="Arial" w:cs="Arial"/>
          <w:szCs w:val="22"/>
        </w:rPr>
        <w:t xml:space="preserve">Members of the Board will be discussing the </w:t>
      </w:r>
      <w:proofErr w:type="gramStart"/>
      <w:r w:rsidRPr="001346FB">
        <w:rPr>
          <w:rFonts w:ascii="Arial" w:hAnsi="Arial" w:cs="Arial"/>
          <w:szCs w:val="22"/>
        </w:rPr>
        <w:t>Bill,</w:t>
      </w:r>
      <w:proofErr w:type="gramEnd"/>
      <w:r w:rsidRPr="001346FB">
        <w:rPr>
          <w:rFonts w:ascii="Arial" w:hAnsi="Arial" w:cs="Arial"/>
          <w:szCs w:val="22"/>
        </w:rPr>
        <w:t xml:space="preserve"> the Government’s other commitments, and our future work on devolution at our final meeting of the year on June 18. Our aim is to ensure that we are pushing the Government to be as ambitious as possible, while helping non-metropolitan areas capitalise on the tremendous opportunity the Bill presents. </w:t>
      </w:r>
    </w:p>
    <w:p w14:paraId="6FF9196C" w14:textId="77777777" w:rsidR="001346FB" w:rsidRPr="001346FB" w:rsidRDefault="001346FB" w:rsidP="001346FB">
      <w:pPr>
        <w:pStyle w:val="ListParagraph"/>
        <w:rPr>
          <w:rFonts w:ascii="Arial" w:hAnsi="Arial" w:cs="Arial"/>
          <w:color w:val="000000"/>
        </w:rPr>
      </w:pPr>
    </w:p>
    <w:p w14:paraId="6FF9196D" w14:textId="77777777" w:rsidR="001346FB" w:rsidRPr="001346FB" w:rsidRDefault="001346FB" w:rsidP="001346FB">
      <w:pPr>
        <w:pStyle w:val="ListParagraph"/>
        <w:rPr>
          <w:rFonts w:ascii="Arial" w:hAnsi="Arial" w:cs="Arial"/>
          <w:color w:val="000000"/>
        </w:rPr>
      </w:pPr>
    </w:p>
    <w:p w14:paraId="6FF9196E" w14:textId="77777777" w:rsidR="00202B0B" w:rsidRDefault="001346FB" w:rsidP="00202B0B">
      <w:pPr>
        <w:jc w:val="both"/>
        <w:rPr>
          <w:rFonts w:ascii="Arial" w:hAnsi="Arial" w:cs="Arial"/>
          <w:color w:val="000000"/>
        </w:rPr>
      </w:pPr>
      <w:r w:rsidRPr="001346FB">
        <w:rPr>
          <w:rFonts w:ascii="Arial" w:hAnsi="Arial" w:cs="Arial"/>
          <w:b/>
        </w:rPr>
        <w:t>Employment, skills and welfare</w:t>
      </w:r>
    </w:p>
    <w:p w14:paraId="6FF9196F" w14:textId="77777777" w:rsidR="00202B0B" w:rsidRDefault="00202B0B" w:rsidP="00202B0B">
      <w:pPr>
        <w:jc w:val="both"/>
        <w:rPr>
          <w:rFonts w:ascii="Arial" w:hAnsi="Arial" w:cs="Arial"/>
          <w:color w:val="000000"/>
        </w:rPr>
      </w:pPr>
    </w:p>
    <w:p w14:paraId="6FF91970" w14:textId="77777777" w:rsidR="00202B0B" w:rsidRPr="00202B0B" w:rsidRDefault="00202B0B" w:rsidP="00202B0B">
      <w:pPr>
        <w:pStyle w:val="ListParagraph"/>
        <w:numPr>
          <w:ilvl w:val="0"/>
          <w:numId w:val="27"/>
        </w:numPr>
        <w:autoSpaceDE w:val="0"/>
        <w:autoSpaceDN w:val="0"/>
        <w:rPr>
          <w:rFonts w:ascii="Arial" w:hAnsi="Arial" w:cs="Arial"/>
          <w:lang w:val="en"/>
        </w:rPr>
      </w:pPr>
      <w:r w:rsidRPr="00202B0B">
        <w:rPr>
          <w:rFonts w:ascii="Arial" w:hAnsi="Arial" w:cs="Arial"/>
        </w:rPr>
        <w:t xml:space="preserve">At the end of March 2015, the LGA put forward the case for groups of councils to have the power, funding and responsibility to integrate and commission employment and skills provision to plan employment and skills investment across places to </w:t>
      </w:r>
      <w:r w:rsidRPr="00202B0B">
        <w:rPr>
          <w:rFonts w:ascii="Arial" w:hAnsi="Arial" w:cs="Arial"/>
          <w:lang w:val="en"/>
        </w:rPr>
        <w:t xml:space="preserve">get more people into work, help low paid people progress in work, and address the skills demand for achieving local growth. </w:t>
      </w:r>
    </w:p>
    <w:p w14:paraId="6FF91971" w14:textId="77777777" w:rsidR="00202B0B" w:rsidRDefault="00202B0B" w:rsidP="00202B0B">
      <w:pPr>
        <w:autoSpaceDE w:val="0"/>
        <w:autoSpaceDN w:val="0"/>
        <w:rPr>
          <w:rFonts w:ascii="Arial" w:hAnsi="Arial" w:cs="Arial"/>
          <w:lang w:val="en"/>
        </w:rPr>
      </w:pPr>
    </w:p>
    <w:p w14:paraId="6FF91972" w14:textId="77777777" w:rsidR="00202B0B" w:rsidRPr="00202B0B" w:rsidRDefault="00202B0B" w:rsidP="00202B0B">
      <w:pPr>
        <w:pStyle w:val="ListParagraph"/>
        <w:numPr>
          <w:ilvl w:val="0"/>
          <w:numId w:val="27"/>
        </w:numPr>
        <w:autoSpaceDE w:val="0"/>
        <w:autoSpaceDN w:val="0"/>
        <w:rPr>
          <w:rFonts w:ascii="Arial" w:hAnsi="Arial" w:cs="Arial"/>
          <w:lang w:eastAsia="en-US"/>
        </w:rPr>
      </w:pPr>
      <w:r w:rsidRPr="00202B0B">
        <w:rPr>
          <w:rFonts w:ascii="Arial" w:hAnsi="Arial" w:cs="Arial"/>
        </w:rPr>
        <w:t xml:space="preserve">Championed by the chairs of the City Regions, People and Places and Children and Young People Boards, the recommendations in </w:t>
      </w:r>
      <w:hyperlink r:id="rId12" w:history="1">
        <w:r w:rsidRPr="00202B0B">
          <w:rPr>
            <w:rStyle w:val="Hyperlink"/>
            <w:rFonts w:ascii="Arial" w:hAnsi="Arial" w:cs="Arial"/>
            <w:i/>
            <w:iCs/>
          </w:rPr>
          <w:t>Realising Talent: a new framework for devolved employment and skills</w:t>
        </w:r>
      </w:hyperlink>
      <w:r w:rsidRPr="00202B0B">
        <w:rPr>
          <w:rFonts w:ascii="Arial" w:hAnsi="Arial" w:cs="Arial"/>
          <w:i/>
          <w:iCs/>
        </w:rPr>
        <w:t xml:space="preserve"> </w:t>
      </w:r>
      <w:r w:rsidRPr="00202B0B">
        <w:rPr>
          <w:rFonts w:ascii="Arial" w:hAnsi="Arial" w:cs="Arial"/>
        </w:rPr>
        <w:t>include</w:t>
      </w:r>
      <w:r w:rsidRPr="00202B0B">
        <w:rPr>
          <w:rFonts w:ascii="Arial" w:hAnsi="Arial" w:cs="Arial"/>
          <w:b/>
          <w:bCs/>
        </w:rPr>
        <w:t xml:space="preserve"> introducing Local Labour Market Agreements across England by 2016/17 </w:t>
      </w:r>
      <w:r w:rsidRPr="00202B0B">
        <w:rPr>
          <w:rFonts w:ascii="Arial" w:hAnsi="Arial" w:cs="Arial"/>
        </w:rPr>
        <w:t xml:space="preserve">as the basis of a deal between groups of councils and central government on what is needed and how it can be achieved.  This should as a minimum include devolution or co-commissioning of at least £13.6 billion employment and skills funding over the next five years including </w:t>
      </w:r>
      <w:r w:rsidRPr="00202B0B">
        <w:rPr>
          <w:rFonts w:ascii="Arial" w:hAnsi="Arial" w:cs="Arial"/>
          <w:b/>
          <w:bCs/>
        </w:rPr>
        <w:t>replacing and devolving the Work Programme worth £620 million annually</w:t>
      </w:r>
      <w:r w:rsidRPr="00202B0B">
        <w:rPr>
          <w:rFonts w:ascii="Arial" w:hAnsi="Arial" w:cs="Arial"/>
        </w:rPr>
        <w:t xml:space="preserve"> </w:t>
      </w:r>
      <w:r w:rsidRPr="00202B0B">
        <w:rPr>
          <w:rFonts w:ascii="Arial" w:hAnsi="Arial" w:cs="Arial"/>
          <w:b/>
          <w:bCs/>
        </w:rPr>
        <w:t>with two programmes</w:t>
      </w:r>
      <w:r w:rsidRPr="00202B0B">
        <w:rPr>
          <w:rFonts w:ascii="Arial" w:hAnsi="Arial" w:cs="Arial"/>
        </w:rPr>
        <w:t xml:space="preserve"> – one for long-term Jobseeker Allowance claimants and the other to support up to 2.55 million disadvantaged claimants who have a range of barriers to sustainable jobs including ESA claimants; devolving</w:t>
      </w:r>
      <w:r w:rsidRPr="00202B0B">
        <w:rPr>
          <w:rFonts w:ascii="Arial" w:hAnsi="Arial" w:cs="Arial"/>
          <w:b/>
          <w:bCs/>
        </w:rPr>
        <w:t xml:space="preserve"> £2 billion a year Adult Skills Budget</w:t>
      </w:r>
      <w:r w:rsidRPr="00202B0B">
        <w:rPr>
          <w:rFonts w:ascii="Arial" w:hAnsi="Arial" w:cs="Arial"/>
        </w:rPr>
        <w:t xml:space="preserve"> to gear the skills system to the needs of businesses; co-commissioning</w:t>
      </w:r>
      <w:r w:rsidRPr="00202B0B">
        <w:rPr>
          <w:rFonts w:ascii="Arial" w:hAnsi="Arial" w:cs="Arial"/>
          <w:b/>
          <w:bCs/>
        </w:rPr>
        <w:t xml:space="preserve"> Job Centre Plus’ annual £100million Flexible Support Fund</w:t>
      </w:r>
      <w:r w:rsidRPr="00202B0B">
        <w:rPr>
          <w:rFonts w:ascii="Arial" w:hAnsi="Arial" w:cs="Arial"/>
        </w:rPr>
        <w:t xml:space="preserve"> so local support for claimants is aligned to local economic priorities; completing the transfer of 16 to 19 education funding to local partnerships; and a </w:t>
      </w:r>
      <w:r w:rsidRPr="00202B0B">
        <w:rPr>
          <w:rFonts w:ascii="Arial" w:hAnsi="Arial" w:cs="Arial"/>
          <w:b/>
          <w:bCs/>
        </w:rPr>
        <w:t>new youth offer</w:t>
      </w:r>
      <w:r w:rsidRPr="00202B0B">
        <w:rPr>
          <w:rFonts w:ascii="Arial" w:hAnsi="Arial" w:cs="Arial"/>
        </w:rPr>
        <w:t xml:space="preserve"> enabling all 14 to 21 or 24-year-olds to access independent careers and employment advice, and to coordinate and deliver services to support every young person not learning or earning. A National Employment and Skills Partnership should bring together central and local government, business, voluntary and community sector and other stakeholders to drive efforts to enable integrated funding and services to put people and places first, rather than institutions.</w:t>
      </w:r>
    </w:p>
    <w:p w14:paraId="6FF91973" w14:textId="77777777" w:rsidR="00202B0B" w:rsidRDefault="00202B0B" w:rsidP="00202B0B">
      <w:pPr>
        <w:pStyle w:val="PlainText"/>
      </w:pPr>
    </w:p>
    <w:p w14:paraId="6FF91978" w14:textId="06480C6B" w:rsidR="00202B0B" w:rsidRPr="00766BC2" w:rsidRDefault="00202B0B" w:rsidP="00202B0B">
      <w:pPr>
        <w:pStyle w:val="BodyText"/>
        <w:numPr>
          <w:ilvl w:val="0"/>
          <w:numId w:val="27"/>
        </w:numPr>
        <w:spacing w:after="0" w:line="240" w:lineRule="auto"/>
        <w:rPr>
          <w:rFonts w:ascii="Arial" w:hAnsi="Arial" w:cs="Arial"/>
          <w:color w:val="000000"/>
        </w:rPr>
      </w:pPr>
      <w:r w:rsidRPr="00766BC2">
        <w:rPr>
          <w:rFonts w:ascii="Arial" w:hAnsi="Arial" w:cs="Arial"/>
          <w:sz w:val="22"/>
          <w:szCs w:val="22"/>
        </w:rPr>
        <w:t xml:space="preserve">This is the final in a </w:t>
      </w:r>
      <w:hyperlink r:id="rId13" w:history="1">
        <w:r w:rsidRPr="00766BC2">
          <w:rPr>
            <w:rStyle w:val="Hyperlink"/>
            <w:rFonts w:ascii="Arial" w:hAnsi="Arial" w:cs="Arial"/>
            <w:i/>
            <w:iCs/>
            <w:sz w:val="22"/>
            <w:szCs w:val="22"/>
          </w:rPr>
          <w:t>series of three reports</w:t>
        </w:r>
      </w:hyperlink>
      <w:r w:rsidRPr="00766BC2">
        <w:rPr>
          <w:rFonts w:ascii="Arial" w:hAnsi="Arial" w:cs="Arial"/>
          <w:sz w:val="22"/>
          <w:szCs w:val="22"/>
        </w:rPr>
        <w:t xml:space="preserve"> commissioned to the </w:t>
      </w:r>
      <w:r w:rsidRPr="00766BC2">
        <w:rPr>
          <w:rFonts w:ascii="Arial" w:hAnsi="Arial" w:cs="Arial"/>
          <w:sz w:val="22"/>
          <w:szCs w:val="22"/>
          <w:lang w:eastAsia="en-GB"/>
        </w:rPr>
        <w:t xml:space="preserve">Centre for Economic and Social Inclusion to analyse the skills and employment challenges to be faced by an incoming or returning Government, and offer a proposed localised solution. </w:t>
      </w:r>
    </w:p>
    <w:tbl>
      <w:tblPr>
        <w:tblpPr w:leftFromText="180" w:rightFromText="180" w:bottomFromText="200" w:vertAnchor="text" w:horzAnchor="margin" w:tblpY="-170"/>
        <w:tblW w:w="10261" w:type="dxa"/>
        <w:tblLook w:val="01E0" w:firstRow="1" w:lastRow="1" w:firstColumn="1" w:lastColumn="1" w:noHBand="0" w:noVBand="0"/>
      </w:tblPr>
      <w:tblGrid>
        <w:gridCol w:w="4111"/>
        <w:gridCol w:w="6150"/>
      </w:tblGrid>
      <w:tr w:rsidR="00766BC2" w14:paraId="11665225" w14:textId="77777777" w:rsidTr="00766BC2">
        <w:trPr>
          <w:trHeight w:val="340"/>
        </w:trPr>
        <w:tc>
          <w:tcPr>
            <w:tcW w:w="4111" w:type="dxa"/>
            <w:vAlign w:val="center"/>
          </w:tcPr>
          <w:p w14:paraId="3213C37B" w14:textId="77777777" w:rsidR="00766BC2" w:rsidRPr="00766BC2" w:rsidRDefault="00766BC2" w:rsidP="00766BC2">
            <w:pPr>
              <w:pStyle w:val="MainText"/>
              <w:spacing w:line="240" w:lineRule="auto"/>
              <w:rPr>
                <w:lang w:eastAsia="en-US"/>
              </w:rPr>
            </w:pPr>
            <w:r>
              <w:rPr>
                <w:rFonts w:ascii="Arial" w:hAnsi="Arial" w:cs="Arial"/>
                <w:b/>
                <w:szCs w:val="22"/>
                <w:lang w:eastAsia="en-US"/>
              </w:rPr>
              <w:lastRenderedPageBreak/>
              <w:t>Contact officer:</w:t>
            </w:r>
            <w:r>
              <w:rPr>
                <w:rFonts w:ascii="Arial" w:hAnsi="Arial" w:cs="Arial"/>
                <w:szCs w:val="22"/>
                <w:lang w:eastAsia="en-US"/>
              </w:rPr>
              <w:t xml:space="preserve"> </w:t>
            </w:r>
          </w:p>
        </w:tc>
        <w:tc>
          <w:tcPr>
            <w:tcW w:w="6150" w:type="dxa"/>
            <w:vAlign w:val="center"/>
          </w:tcPr>
          <w:p w14:paraId="6CD3B8D2" w14:textId="77777777" w:rsidR="00766BC2" w:rsidRDefault="00766BC2" w:rsidP="00766BC2">
            <w:pPr>
              <w:pStyle w:val="MainText"/>
              <w:spacing w:line="240" w:lineRule="auto"/>
              <w:rPr>
                <w:rFonts w:ascii="Arial" w:hAnsi="Arial" w:cs="Arial"/>
                <w:szCs w:val="22"/>
                <w:lang w:eastAsia="en-US"/>
              </w:rPr>
            </w:pPr>
            <w:r>
              <w:rPr>
                <w:rFonts w:ascii="Arial" w:hAnsi="Arial" w:cs="Arial"/>
                <w:szCs w:val="22"/>
                <w:lang w:eastAsia="en-US"/>
              </w:rPr>
              <w:t>Carolyn Downs</w:t>
            </w:r>
          </w:p>
        </w:tc>
      </w:tr>
      <w:tr w:rsidR="00766BC2" w14:paraId="12BE8C6A" w14:textId="77777777" w:rsidTr="00766BC2">
        <w:trPr>
          <w:trHeight w:val="340"/>
        </w:trPr>
        <w:tc>
          <w:tcPr>
            <w:tcW w:w="4111" w:type="dxa"/>
            <w:vAlign w:val="center"/>
            <w:hideMark/>
          </w:tcPr>
          <w:p w14:paraId="1D6A00AD" w14:textId="77777777" w:rsidR="00766BC2" w:rsidRDefault="00766BC2" w:rsidP="00766BC2">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150" w:type="dxa"/>
            <w:vAlign w:val="center"/>
            <w:hideMark/>
          </w:tcPr>
          <w:p w14:paraId="06A8BF46" w14:textId="77777777" w:rsidR="00766BC2" w:rsidRDefault="00766BC2" w:rsidP="00766BC2">
            <w:pPr>
              <w:pStyle w:val="MainText"/>
              <w:spacing w:line="240" w:lineRule="auto"/>
              <w:rPr>
                <w:rFonts w:ascii="Arial" w:hAnsi="Arial" w:cs="Arial"/>
                <w:szCs w:val="22"/>
                <w:lang w:eastAsia="en-US"/>
              </w:rPr>
            </w:pPr>
            <w:r>
              <w:rPr>
                <w:rFonts w:ascii="Arial" w:hAnsi="Arial" w:cs="Arial"/>
                <w:szCs w:val="22"/>
                <w:lang w:eastAsia="en-US"/>
              </w:rPr>
              <w:t>LGA Chief Executive</w:t>
            </w:r>
          </w:p>
        </w:tc>
      </w:tr>
      <w:tr w:rsidR="00766BC2" w14:paraId="15DC0ADC" w14:textId="77777777" w:rsidTr="00766BC2">
        <w:trPr>
          <w:trHeight w:val="340"/>
        </w:trPr>
        <w:tc>
          <w:tcPr>
            <w:tcW w:w="4111" w:type="dxa"/>
            <w:vAlign w:val="center"/>
            <w:hideMark/>
          </w:tcPr>
          <w:p w14:paraId="331D89E3" w14:textId="77777777" w:rsidR="00766BC2" w:rsidRDefault="00766BC2" w:rsidP="00766BC2">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150" w:type="dxa"/>
            <w:vAlign w:val="center"/>
            <w:hideMark/>
          </w:tcPr>
          <w:p w14:paraId="0F3F98F8" w14:textId="77777777" w:rsidR="00766BC2" w:rsidRDefault="00766BC2" w:rsidP="00766BC2">
            <w:pPr>
              <w:pStyle w:val="MainText"/>
              <w:spacing w:line="240" w:lineRule="auto"/>
              <w:rPr>
                <w:rFonts w:ascii="Arial" w:hAnsi="Arial" w:cs="Arial"/>
                <w:szCs w:val="22"/>
                <w:lang w:eastAsia="en-US"/>
              </w:rPr>
            </w:pPr>
            <w:r>
              <w:rPr>
                <w:rFonts w:ascii="Arial" w:hAnsi="Arial" w:cs="Arial"/>
                <w:szCs w:val="22"/>
                <w:lang w:eastAsia="en-US"/>
              </w:rPr>
              <w:t>020 7664 3213</w:t>
            </w:r>
          </w:p>
        </w:tc>
      </w:tr>
      <w:tr w:rsidR="00766BC2" w14:paraId="7C08EA74" w14:textId="77777777" w:rsidTr="00766BC2">
        <w:trPr>
          <w:trHeight w:val="340"/>
        </w:trPr>
        <w:tc>
          <w:tcPr>
            <w:tcW w:w="4111" w:type="dxa"/>
            <w:vAlign w:val="center"/>
            <w:hideMark/>
          </w:tcPr>
          <w:p w14:paraId="35994635" w14:textId="77777777" w:rsidR="00766BC2" w:rsidRDefault="00766BC2" w:rsidP="00766BC2">
            <w:pPr>
              <w:pStyle w:val="MainText"/>
              <w:spacing w:line="240" w:lineRule="auto"/>
              <w:rPr>
                <w:rFonts w:ascii="Arial" w:hAnsi="Arial" w:cs="Arial"/>
                <w:b/>
                <w:szCs w:val="22"/>
                <w:lang w:eastAsia="en-US"/>
              </w:rPr>
            </w:pPr>
            <w:r>
              <w:rPr>
                <w:rFonts w:ascii="Arial" w:hAnsi="Arial" w:cs="Arial"/>
                <w:b/>
                <w:szCs w:val="22"/>
                <w:lang w:eastAsia="en-US"/>
              </w:rPr>
              <w:t>E-mail:</w:t>
            </w:r>
          </w:p>
        </w:tc>
        <w:tc>
          <w:tcPr>
            <w:tcW w:w="6150" w:type="dxa"/>
            <w:vAlign w:val="center"/>
            <w:hideMark/>
          </w:tcPr>
          <w:p w14:paraId="54272024" w14:textId="77777777" w:rsidR="00766BC2" w:rsidRDefault="00766BC2" w:rsidP="00766BC2">
            <w:pPr>
              <w:pStyle w:val="MainText"/>
              <w:spacing w:line="240" w:lineRule="auto"/>
              <w:rPr>
                <w:rFonts w:ascii="Arial" w:hAnsi="Arial" w:cs="Arial"/>
                <w:color w:val="0000FF"/>
                <w:szCs w:val="22"/>
                <w:u w:val="single"/>
                <w:lang w:eastAsia="en-US"/>
              </w:rPr>
            </w:pPr>
            <w:hyperlink r:id="rId14" w:history="1">
              <w:r>
                <w:rPr>
                  <w:rStyle w:val="Hyperlink"/>
                  <w:rFonts w:ascii="Arial" w:hAnsi="Arial" w:cs="Arial"/>
                  <w:szCs w:val="22"/>
                  <w:lang w:eastAsia="en-US"/>
                </w:rPr>
                <w:t>carolyn.downs@local.gov.uk</w:t>
              </w:r>
            </w:hyperlink>
          </w:p>
        </w:tc>
      </w:tr>
    </w:tbl>
    <w:p w14:paraId="6FF9198C" w14:textId="77777777" w:rsidR="00202B0B" w:rsidRDefault="00202B0B" w:rsidP="00766BC2">
      <w:pPr>
        <w:rPr>
          <w:rFonts w:ascii="Arial" w:hAnsi="Arial" w:cs="Arial"/>
          <w:i/>
          <w:iCs/>
          <w:u w:val="single"/>
        </w:rPr>
      </w:pPr>
    </w:p>
    <w:sectPr w:rsidR="00202B0B" w:rsidSect="00C631F9">
      <w:headerReference w:type="default" r:id="rId15"/>
      <w:pgSz w:w="11906" w:h="16838"/>
      <w:pgMar w:top="1440"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EB2F1" w14:textId="77777777" w:rsidR="00766BC2" w:rsidRDefault="00766BC2" w:rsidP="00766BC2">
      <w:r>
        <w:separator/>
      </w:r>
    </w:p>
  </w:endnote>
  <w:endnote w:type="continuationSeparator" w:id="0">
    <w:p w14:paraId="16F74429" w14:textId="77777777" w:rsidR="00766BC2" w:rsidRDefault="00766BC2" w:rsidP="0076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BA8D1" w14:textId="77777777" w:rsidR="00766BC2" w:rsidRDefault="00766BC2" w:rsidP="00766BC2">
      <w:r>
        <w:separator/>
      </w:r>
    </w:p>
  </w:footnote>
  <w:footnote w:type="continuationSeparator" w:id="0">
    <w:p w14:paraId="6F088AF1" w14:textId="77777777" w:rsidR="00766BC2" w:rsidRDefault="00766BC2" w:rsidP="0076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5D97" w14:textId="77777777" w:rsidR="00766BC2" w:rsidRDefault="00766BC2" w:rsidP="00766BC2">
    <w:pPr>
      <w:pStyle w:val="Header"/>
      <w:tabs>
        <w:tab w:val="clear" w:pos="4153"/>
        <w:tab w:val="clear" w:pos="8306"/>
        <w:tab w:val="left" w:pos="6495"/>
      </w:tabs>
    </w:pPr>
    <w:r>
      <w:tab/>
    </w:r>
  </w:p>
  <w:tbl>
    <w:tblPr>
      <w:tblW w:w="3509" w:type="dxa"/>
      <w:tblInd w:w="6255" w:type="dxa"/>
      <w:tblLook w:val="01E0" w:firstRow="1" w:lastRow="1" w:firstColumn="1" w:lastColumn="1" w:noHBand="0" w:noVBand="0"/>
    </w:tblPr>
    <w:tblGrid>
      <w:gridCol w:w="3509"/>
    </w:tblGrid>
    <w:tr w:rsidR="00766BC2" w:rsidRPr="00F46ED5" w14:paraId="6C746BA2" w14:textId="77777777" w:rsidTr="00766BC2">
      <w:tc>
        <w:tcPr>
          <w:tcW w:w="3509" w:type="dxa"/>
          <w:vAlign w:val="center"/>
        </w:tcPr>
        <w:p w14:paraId="43674950" w14:textId="77777777" w:rsidR="00766BC2" w:rsidRPr="00F46ED5" w:rsidRDefault="00766BC2" w:rsidP="00DF3EB8">
          <w:pPr>
            <w:pStyle w:val="Header"/>
            <w:rPr>
              <w:b/>
              <w:szCs w:val="22"/>
            </w:rPr>
          </w:pPr>
          <w:r w:rsidRPr="00F46ED5">
            <w:rPr>
              <w:rFonts w:ascii="Arial" w:hAnsi="Arial" w:cs="Arial"/>
              <w:b/>
              <w:szCs w:val="22"/>
            </w:rPr>
            <w:t>Councillors’ Forum</w:t>
          </w:r>
        </w:p>
      </w:tc>
    </w:tr>
    <w:tr w:rsidR="00766BC2" w:rsidRPr="00A557CF" w14:paraId="6F261D48" w14:textId="77777777" w:rsidTr="00766BC2">
      <w:trPr>
        <w:trHeight w:val="450"/>
      </w:trPr>
      <w:tc>
        <w:tcPr>
          <w:tcW w:w="3509" w:type="dxa"/>
          <w:vAlign w:val="center"/>
        </w:tcPr>
        <w:p w14:paraId="4952236E" w14:textId="77777777" w:rsidR="00766BC2" w:rsidRPr="00A557CF" w:rsidRDefault="00766BC2" w:rsidP="00DF3EB8">
          <w:pPr>
            <w:pStyle w:val="Header"/>
            <w:spacing w:before="60"/>
            <w:rPr>
              <w:rFonts w:ascii="Arial" w:hAnsi="Arial" w:cs="Arial"/>
              <w:szCs w:val="22"/>
              <w:highlight w:val="yellow"/>
            </w:rPr>
          </w:pPr>
          <w:r>
            <w:rPr>
              <w:rFonts w:ascii="Arial" w:hAnsi="Arial" w:cs="Arial"/>
              <w:szCs w:val="22"/>
            </w:rPr>
            <w:t>11 June 2015</w:t>
          </w:r>
        </w:p>
      </w:tc>
    </w:tr>
  </w:tbl>
  <w:p w14:paraId="1B115112" w14:textId="09630285" w:rsidR="00766BC2" w:rsidRDefault="00766BC2" w:rsidP="00766BC2">
    <w:pPr>
      <w:pStyle w:val="Header"/>
      <w:tabs>
        <w:tab w:val="clear" w:pos="4153"/>
        <w:tab w:val="clear" w:pos="8306"/>
        <w:tab w:val="left" w:pos="64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7E"/>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D050CE"/>
    <w:multiLevelType w:val="multilevel"/>
    <w:tmpl w:val="BA225B3A"/>
    <w:lvl w:ilvl="0">
      <w:start w:val="1"/>
      <w:numFmt w:val="decimal"/>
      <w:lvlText w:val="%1."/>
      <w:lvlJc w:val="left"/>
      <w:pPr>
        <w:ind w:left="720" w:hanging="360"/>
      </w:pPr>
      <w:rPr>
        <w:rFonts w:hint="default"/>
        <w:color w:val="000000"/>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4B0C74"/>
    <w:multiLevelType w:val="hybridMultilevel"/>
    <w:tmpl w:val="3E84E2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8C6BF9"/>
    <w:multiLevelType w:val="hybridMultilevel"/>
    <w:tmpl w:val="E23A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0B2F0E"/>
    <w:multiLevelType w:val="hybridMultilevel"/>
    <w:tmpl w:val="B6FC6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E6E51AA"/>
    <w:multiLevelType w:val="multilevel"/>
    <w:tmpl w:val="6A4C6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137E86"/>
    <w:multiLevelType w:val="hybridMultilevel"/>
    <w:tmpl w:val="567A0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0125C8"/>
    <w:multiLevelType w:val="hybridMultilevel"/>
    <w:tmpl w:val="1234C7BC"/>
    <w:lvl w:ilvl="0" w:tplc="FA2022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9524F9"/>
    <w:multiLevelType w:val="hybridMultilevel"/>
    <w:tmpl w:val="4ECC5D40"/>
    <w:lvl w:ilvl="0" w:tplc="4EC0B36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EF72F41"/>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F814EE"/>
    <w:multiLevelType w:val="hybridMultilevel"/>
    <w:tmpl w:val="3DA0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DC1BA5"/>
    <w:multiLevelType w:val="hybridMultilevel"/>
    <w:tmpl w:val="5F247C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9C4B04"/>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EA65C3"/>
    <w:multiLevelType w:val="hybridMultilevel"/>
    <w:tmpl w:val="69B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DC3440E"/>
    <w:multiLevelType w:val="hybridMultilevel"/>
    <w:tmpl w:val="27F4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F0B078A"/>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C35D5A"/>
    <w:multiLevelType w:val="hybridMultilevel"/>
    <w:tmpl w:val="8C3AF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35008B5"/>
    <w:multiLevelType w:val="hybridMultilevel"/>
    <w:tmpl w:val="7CAC4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220628"/>
    <w:multiLevelType w:val="hybridMultilevel"/>
    <w:tmpl w:val="4A0E72F2"/>
    <w:lvl w:ilvl="0" w:tplc="CD48ED5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5B046862"/>
    <w:multiLevelType w:val="hybridMultilevel"/>
    <w:tmpl w:val="6F9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68C44E0"/>
    <w:multiLevelType w:val="hybridMultilevel"/>
    <w:tmpl w:val="6E1E10BE"/>
    <w:lvl w:ilvl="0" w:tplc="B64C145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69F2268F"/>
    <w:multiLevelType w:val="hybridMultilevel"/>
    <w:tmpl w:val="F544D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DB23A7"/>
    <w:multiLevelType w:val="hybridMultilevel"/>
    <w:tmpl w:val="43BC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D642F6"/>
    <w:multiLevelType w:val="hybridMultilevel"/>
    <w:tmpl w:val="3A64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10"/>
  </w:num>
  <w:num w:numId="7">
    <w:abstractNumId w:val="13"/>
  </w:num>
  <w:num w:numId="8">
    <w:abstractNumId w:val="25"/>
  </w:num>
  <w:num w:numId="9">
    <w:abstractNumId w:val="16"/>
  </w:num>
  <w:num w:numId="10">
    <w:abstractNumId w:val="7"/>
  </w:num>
  <w:num w:numId="11">
    <w:abstractNumId w:val="5"/>
  </w:num>
  <w:num w:numId="12">
    <w:abstractNumId w:val="20"/>
  </w:num>
  <w:num w:numId="13">
    <w:abstractNumId w:val="22"/>
  </w:num>
  <w:num w:numId="14">
    <w:abstractNumId w:val="24"/>
  </w:num>
  <w:num w:numId="15">
    <w:abstractNumId w:val="3"/>
  </w:num>
  <w:num w:numId="16">
    <w:abstractNumId w:val="18"/>
  </w:num>
  <w:num w:numId="17">
    <w:abstractNumId w:val="12"/>
  </w:num>
  <w:num w:numId="18">
    <w:abstractNumId w:val="8"/>
  </w:num>
  <w:num w:numId="19">
    <w:abstractNumId w:val="9"/>
  </w:num>
  <w:num w:numId="20">
    <w:abstractNumId w:val="0"/>
  </w:num>
  <w:num w:numId="21">
    <w:abstractNumId w:val="15"/>
  </w:num>
  <w:num w:numId="22">
    <w:abstractNumId w:val="1"/>
  </w:num>
  <w:num w:numId="23">
    <w:abstractNumId w:val="4"/>
  </w:num>
  <w:num w:numId="24">
    <w:abstractNumId w:val="23"/>
  </w:num>
  <w:num w:numId="25">
    <w:abstractNumId w:val="6"/>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270B6"/>
    <w:rsid w:val="00032948"/>
    <w:rsid w:val="000655F1"/>
    <w:rsid w:val="00080FE3"/>
    <w:rsid w:val="00092071"/>
    <w:rsid w:val="000932ED"/>
    <w:rsid w:val="00120794"/>
    <w:rsid w:val="0012132A"/>
    <w:rsid w:val="001346FB"/>
    <w:rsid w:val="0014692B"/>
    <w:rsid w:val="00147E00"/>
    <w:rsid w:val="001573C2"/>
    <w:rsid w:val="00163CDB"/>
    <w:rsid w:val="001C1BD1"/>
    <w:rsid w:val="001F7754"/>
    <w:rsid w:val="00202B0B"/>
    <w:rsid w:val="00212B79"/>
    <w:rsid w:val="00242ADA"/>
    <w:rsid w:val="00246996"/>
    <w:rsid w:val="0026247B"/>
    <w:rsid w:val="003025B6"/>
    <w:rsid w:val="00326AA8"/>
    <w:rsid w:val="003346AD"/>
    <w:rsid w:val="0033789A"/>
    <w:rsid w:val="00347E80"/>
    <w:rsid w:val="003640E4"/>
    <w:rsid w:val="003641B0"/>
    <w:rsid w:val="0036740B"/>
    <w:rsid w:val="00367BB6"/>
    <w:rsid w:val="00370C75"/>
    <w:rsid w:val="003A3450"/>
    <w:rsid w:val="003A4861"/>
    <w:rsid w:val="003A70E7"/>
    <w:rsid w:val="003D1696"/>
    <w:rsid w:val="003F66E3"/>
    <w:rsid w:val="0044437A"/>
    <w:rsid w:val="0048021E"/>
    <w:rsid w:val="00482956"/>
    <w:rsid w:val="00497A9D"/>
    <w:rsid w:val="004A68F8"/>
    <w:rsid w:val="004B37D0"/>
    <w:rsid w:val="004D0F00"/>
    <w:rsid w:val="004E4262"/>
    <w:rsid w:val="00541B28"/>
    <w:rsid w:val="0054228F"/>
    <w:rsid w:val="00564784"/>
    <w:rsid w:val="005A5B62"/>
    <w:rsid w:val="005A654A"/>
    <w:rsid w:val="005A76B3"/>
    <w:rsid w:val="005B676C"/>
    <w:rsid w:val="005C6895"/>
    <w:rsid w:val="005C6F58"/>
    <w:rsid w:val="005D01A3"/>
    <w:rsid w:val="005D5014"/>
    <w:rsid w:val="006004AF"/>
    <w:rsid w:val="00601E84"/>
    <w:rsid w:val="00611F69"/>
    <w:rsid w:val="00621458"/>
    <w:rsid w:val="00634582"/>
    <w:rsid w:val="0063534D"/>
    <w:rsid w:val="00655547"/>
    <w:rsid w:val="006709B5"/>
    <w:rsid w:val="006723D8"/>
    <w:rsid w:val="00681148"/>
    <w:rsid w:val="00687726"/>
    <w:rsid w:val="00691573"/>
    <w:rsid w:val="006B430B"/>
    <w:rsid w:val="006D3434"/>
    <w:rsid w:val="006E2C96"/>
    <w:rsid w:val="006F71BA"/>
    <w:rsid w:val="00705031"/>
    <w:rsid w:val="00720ECD"/>
    <w:rsid w:val="00731417"/>
    <w:rsid w:val="0073588E"/>
    <w:rsid w:val="00766BC2"/>
    <w:rsid w:val="00770201"/>
    <w:rsid w:val="007974D6"/>
    <w:rsid w:val="007C7252"/>
    <w:rsid w:val="007D698A"/>
    <w:rsid w:val="008458C8"/>
    <w:rsid w:val="008553F3"/>
    <w:rsid w:val="00855B01"/>
    <w:rsid w:val="008667CA"/>
    <w:rsid w:val="00883E38"/>
    <w:rsid w:val="008A0EE4"/>
    <w:rsid w:val="008B32CB"/>
    <w:rsid w:val="008E633A"/>
    <w:rsid w:val="008F3845"/>
    <w:rsid w:val="008F7C7A"/>
    <w:rsid w:val="00937D5A"/>
    <w:rsid w:val="0096645B"/>
    <w:rsid w:val="009942F6"/>
    <w:rsid w:val="009C1B2C"/>
    <w:rsid w:val="00A01F5E"/>
    <w:rsid w:val="00A557CF"/>
    <w:rsid w:val="00A561EC"/>
    <w:rsid w:val="00A61411"/>
    <w:rsid w:val="00A71F37"/>
    <w:rsid w:val="00A87BBC"/>
    <w:rsid w:val="00A941F6"/>
    <w:rsid w:val="00AB4528"/>
    <w:rsid w:val="00AE3F68"/>
    <w:rsid w:val="00B0360D"/>
    <w:rsid w:val="00B354DA"/>
    <w:rsid w:val="00B36C1F"/>
    <w:rsid w:val="00B40604"/>
    <w:rsid w:val="00B73332"/>
    <w:rsid w:val="00B86690"/>
    <w:rsid w:val="00BA36BB"/>
    <w:rsid w:val="00BE4892"/>
    <w:rsid w:val="00BE623D"/>
    <w:rsid w:val="00C057FF"/>
    <w:rsid w:val="00C22215"/>
    <w:rsid w:val="00C53A8E"/>
    <w:rsid w:val="00C631F9"/>
    <w:rsid w:val="00C807CA"/>
    <w:rsid w:val="00C95D16"/>
    <w:rsid w:val="00CA1CAA"/>
    <w:rsid w:val="00CA249A"/>
    <w:rsid w:val="00CB03EC"/>
    <w:rsid w:val="00CB74F7"/>
    <w:rsid w:val="00CC23A3"/>
    <w:rsid w:val="00CD779F"/>
    <w:rsid w:val="00CF30C8"/>
    <w:rsid w:val="00D33BC0"/>
    <w:rsid w:val="00D36FB3"/>
    <w:rsid w:val="00D668E0"/>
    <w:rsid w:val="00D80BF7"/>
    <w:rsid w:val="00DA1B45"/>
    <w:rsid w:val="00DC3A4B"/>
    <w:rsid w:val="00DD5D26"/>
    <w:rsid w:val="00E23B15"/>
    <w:rsid w:val="00E2574A"/>
    <w:rsid w:val="00E34E57"/>
    <w:rsid w:val="00E50A32"/>
    <w:rsid w:val="00E86233"/>
    <w:rsid w:val="00EC5DB6"/>
    <w:rsid w:val="00F12A81"/>
    <w:rsid w:val="00F34D9E"/>
    <w:rsid w:val="00F40152"/>
    <w:rsid w:val="00F56193"/>
    <w:rsid w:val="00F63716"/>
    <w:rsid w:val="00FC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al.gov.uk/web/guest/economy/-/journal_content/56/10180/7151113/ARTICL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cal.gov.uk/publications/-/journal_content/56/10180/7153946/PUBLI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suu.com/lgapublications/docs/devonext_devolution_whitepaper_by_l/1?e=16807299/1298343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ocal.gov.uk/documents/10180/6869714/Devolution+to+Non-Metropolitan+England+-+Seven+steps+to+growth+and+prosperity.pdf/d2154c5b-230d-4680-905f-6c06b49e268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rolyn.downs@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55C7-24E4-41C2-AEC4-F2E5536F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Hannah Boylan</cp:lastModifiedBy>
  <cp:revision>3</cp:revision>
  <dcterms:created xsi:type="dcterms:W3CDTF">2015-06-01T15:13:00Z</dcterms:created>
  <dcterms:modified xsi:type="dcterms:W3CDTF">2015-06-01T15:47:00Z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vp</vt:lpwstr>
  </op:property>
  <op:property fmtid="{D5CDD505-2E9C-101B-9397-08002B2CF9AE}" pid="5" name="DC.creator">
    <vt:lpwstr>GSS1\virginia.ponton</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2014-02-12T00:00:00Z</vt:lpwstr>
  </op:property>
  <op:property fmtid="{D5CDD505-2E9C-101B-9397-08002B2CF9AE}" pid="10" name="e-GMS.subject.keyword">
    <vt:lpwstr>Regeneration and transport Board</vt:lpwstr>
  </op:property>
  <op:property fmtid="{D5CDD505-2E9C-101B-9397-08002B2CF9AE}" pid="11" name="Date">
    <vt:lpwstr>2014-02-12T00:00:00Z</vt:lpwstr>
  </op:property>
  <op:property fmtid="{D5CDD505-2E9C-101B-9397-08002B2CF9AE}" pid="12" name="Title">
    <vt:lpwstr>Chairman's report JW</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